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0F" w:rsidRPr="00960C45" w:rsidRDefault="006A1F0F" w:rsidP="006A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</w:t>
      </w:r>
    </w:p>
    <w:p w:rsidR="006A1F0F" w:rsidRPr="00960C45" w:rsidRDefault="006A1F0F" w:rsidP="006A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правоприменительной практики </w:t>
      </w:r>
    </w:p>
    <w:p w:rsidR="006A1F0F" w:rsidRPr="00960C45" w:rsidRDefault="006A1F0F" w:rsidP="006A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Хакасского УФАС России за 2019 года в сфере контроля законодательства о контрактной системе в сфере закупок</w:t>
      </w:r>
    </w:p>
    <w:p w:rsidR="006A1F0F" w:rsidRPr="00960C45" w:rsidRDefault="006A1F0F" w:rsidP="006A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1F0F" w:rsidRPr="00960C45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6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Статистика.</w:t>
      </w:r>
    </w:p>
    <w:p w:rsidR="006A1F0F" w:rsidRPr="00960C45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день, за 2019 год Хакасским УФАС России рассмотрено </w:t>
      </w:r>
      <w:r w:rsid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(из них признаны обоснованными, в том числе частично обоснованными – </w:t>
      </w:r>
      <w:r w:rsidR="00960C45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необоснованными - </w:t>
      </w:r>
      <w:r w:rsidR="00960C45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возращены заявителю – </w:t>
      </w:r>
      <w:r w:rsidR="00960C45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отозваны - </w:t>
      </w:r>
      <w:r w:rsid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A1F0F" w:rsidRPr="00960C45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Инспекцией Управления проведен</w:t>
      </w:r>
      <w:r w:rsidR="00701711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711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701711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701711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43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</w:t>
      </w:r>
      <w:r w:rsidR="009374E5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рассмотрено </w:t>
      </w:r>
      <w:r w:rsidR="00701711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дел, </w:t>
      </w:r>
      <w:r w:rsidR="009374E5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374E5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в реестр недобросовестных поставщиков. </w:t>
      </w:r>
    </w:p>
    <w:p w:rsidR="006A1F0F" w:rsidRPr="00960C45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0C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6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 201</w:t>
      </w:r>
      <w:r w:rsidR="009374E5" w:rsidRPr="0096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6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неоднократно вносились изменения в 44-ФЗ, которые заслуживают особого внимания, в связи с чем, предлагаем в кратком обзоре рассмотреть наиболее значимые из них.</w:t>
      </w:r>
    </w:p>
    <w:p w:rsidR="006A1F0F" w:rsidRPr="00960C45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также напомнить, что с 1 января 2019 года заказчики обязаны закупать продукцию только электронными процедурами, а участники, в свою очередь, должны регистрироваться в ЕИС. </w:t>
      </w:r>
    </w:p>
    <w:p w:rsidR="006A1F0F" w:rsidRPr="00960C45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 января 2019 года измен</w:t>
      </w:r>
      <w:r w:rsidR="003469E1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объема закупок у субъектов малого предпринимательства: </w:t>
      </w:r>
      <w:r w:rsidR="003469E1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3469E1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9E1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в расчет совокупного годового объема закупок (далее – СГОЗ) закупки у единственного поставщика из субъектов малого предпринимательства (далее – СМП) или социально-ориентированных некоммерческих организаций (далее – СОНКО), которые осуществляются в случае признания конкурентного способа определения поставщика (среди СМП) несостоявшимся.</w:t>
      </w:r>
      <w:r w:rsidR="00E1467E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нововведение упрости</w:t>
      </w:r>
      <w:r w:rsidR="003469E1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87744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заказчикам, т.к. с учетом закупок у единственного поставщика, которые начнут учитываться в СГОЗ, достичь планки в 15% станет проще.</w:t>
      </w:r>
    </w:p>
    <w:p w:rsidR="006A1F0F" w:rsidRPr="00960C45" w:rsidRDefault="006A1F0F" w:rsidP="00E1467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2019 года банковскую гарантию для обеспечения участия </w:t>
      </w:r>
      <w:r w:rsidR="003469E1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возможно 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таких видах закупок как электронный аукцион, открытый конкурс в электронной форме, двухэтапный конкурс в электронной форме и в конкурсе с ограниченным участием.</w:t>
      </w:r>
    </w:p>
    <w:p w:rsidR="00E1467E" w:rsidRPr="00960C45" w:rsidRDefault="00E1467E" w:rsidP="00E14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этом, участникам закупок с преимуществами СМП, СОНКО, </w:t>
      </w:r>
      <w:r w:rsidR="004B7DE8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предложившими 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цену контракта на 25% и более ниже установленной в извещении о закупке, и с которыми заключается контракт, предоставлен «льготный» режим предоставления обеспечения исполнения контракта:</w:t>
      </w:r>
    </w:p>
    <w:p w:rsidR="00E1467E" w:rsidRPr="00960C45" w:rsidRDefault="00E1467E" w:rsidP="00E14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- 1,5 размер обеспечения рассчитыва</w:t>
      </w:r>
      <w:r w:rsidR="004B7DE8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 НМЦК, а от цены, по которой заключается контракт (но не менее аванса);</w:t>
      </w:r>
    </w:p>
    <w:p w:rsidR="00E1467E" w:rsidRPr="00960C45" w:rsidRDefault="00E1467E" w:rsidP="00E14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обеспечения гарантийных обязательств не должен превышать 10% НМЦК;</w:t>
      </w:r>
    </w:p>
    <w:p w:rsidR="00E1467E" w:rsidRPr="00960C45" w:rsidRDefault="00E1467E" w:rsidP="004B7D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 закупки освобожден от предоставления обеспечения исполнения контракта, если до заключения контракта предоставит информацию из реестра контрактов, подтверждающую исполнение этим участником в течение 3 лет до даты подачи заявки на участие в закупке 3 контрактов, исполненных без применения к такому участнику неустоек, общая сумма цен которых будет не менее НМЦК, указанной в извещении и документации о закупке.</w:t>
      </w:r>
    </w:p>
    <w:p w:rsidR="004B7DE8" w:rsidRPr="00960C45" w:rsidRDefault="004B7DE8" w:rsidP="004B7D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E1" w:rsidRPr="00960C45" w:rsidRDefault="003469E1" w:rsidP="00287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упрощения закупок работ по строительству, реконструкции, капитальному ремонту, сносу объекта капитального стр</w:t>
      </w:r>
      <w:r w:rsidR="00E1467E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оительства, в том числе линейных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описание объекта закупки необходимо включать проектную документацию, за исключением случаев, если градостроительным законодательством не предусмотрена подготовка проектной документации. При этом</w:t>
      </w:r>
      <w:r w:rsidR="00E1467E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проектной документации </w:t>
      </w:r>
      <w:r w:rsidR="00E1467E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исполнением требований по описанию объекта закупки.</w:t>
      </w:r>
    </w:p>
    <w:p w:rsidR="003469E1" w:rsidRPr="00960C45" w:rsidRDefault="00287744" w:rsidP="00287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</w:t>
      </w:r>
      <w:r w:rsidR="003469E1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особенностью проведения таких электронных аукционов состоит в том, что первой частью заявки участника закупки считается поданное с применением программно-аппаратных средств электронной площадки согласие на выполнение работ. 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заказчикам </w:t>
      </w:r>
      <w:r w:rsidR="00E1467E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469E1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оформлять протокол в этом случае.</w:t>
      </w:r>
    </w:p>
    <w:p w:rsidR="003469E1" w:rsidRPr="00960C45" w:rsidRDefault="003469E1" w:rsidP="00287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аукцион в </w:t>
      </w:r>
      <w:r w:rsidR="00E1467E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таком 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проводится</w:t>
      </w:r>
      <w:r w:rsidR="00E1467E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4 часа после окончания срока подачи заявок на уч</w:t>
      </w:r>
      <w:r w:rsidR="00E1467E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первую и вторую части заявок оператор направляет заказчику в течение 1 часа после размещения протокола проведения электронного аукциона.</w:t>
      </w:r>
    </w:p>
    <w:p w:rsidR="00287744" w:rsidRPr="00960C45" w:rsidRDefault="00287744" w:rsidP="00287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E1" w:rsidRPr="00960C45" w:rsidRDefault="00E1467E" w:rsidP="00287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</w:t>
      </w:r>
      <w:r w:rsidR="003469E1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нововведением является расширение перечня случаев, в которых возможно изменение существенных услови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контрактов при их исполнении</w:t>
      </w:r>
      <w:r w:rsidR="003469E1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69E1" w:rsidRPr="00960C45" w:rsidRDefault="003469E1" w:rsidP="00287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объема и (или) видов выполняемых работ по контракту</w:t>
      </w:r>
      <w:r w:rsidR="00287744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чем на 10% от его цены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предметом которого является выполнение работ по строительству, реконструкции, кап. ремонту, сносу объекта кап. строительства, проведению работ по сохранени</w:t>
      </w:r>
      <w:r w:rsidR="00287744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объектов культурного наследия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69E1" w:rsidRPr="00960C45" w:rsidRDefault="003469E1" w:rsidP="00287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контракт на выполнение строительных работ или работ по сохранению объектов культурного наследия не исполнен по независящим от сторон обстоятельствам, влекущим невозможность исполнения</w:t>
      </w:r>
      <w:r w:rsidR="00E1467E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 вправе однократно продлить срок исполнения контракта на срок, не превышающий указанный при заключении контракта</w:t>
      </w:r>
      <w:r w:rsidR="00E1467E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таком случае подрядчику необходимо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</w:t>
      </w:r>
      <w:r w:rsidR="00E1467E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</w:t>
      </w:r>
      <w:r w:rsidR="00E1467E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287744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еспечени</w:t>
      </w:r>
      <w:r w:rsidR="00E1467E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87744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контракта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неисполнение произошло по вине подрядчика 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продление 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 при условии отсутствия у подрядчика неисполненных требований по уплате неустоек.</w:t>
      </w:r>
    </w:p>
    <w:p w:rsidR="00287744" w:rsidRPr="00960C45" w:rsidRDefault="00287744" w:rsidP="003469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7E" w:rsidRPr="00960C45" w:rsidRDefault="00E1467E" w:rsidP="00287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июля 2019 </w:t>
      </w:r>
      <w:r w:rsidR="003469E1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могут</w:t>
      </w:r>
      <w:r w:rsidR="003469E1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заключить контракт с участником закупок, с которым он вправе заключать контракт при уклонении победителя (при условии согласия такого участника) в случае расторжения контракта, заключенного с победителем закупки. </w:t>
      </w:r>
    </w:p>
    <w:p w:rsidR="003469E1" w:rsidRPr="00960C45" w:rsidRDefault="003469E1" w:rsidP="00287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E1467E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контракт расторгнут в связи с односторонним отказом заказчика, </w:t>
      </w:r>
      <w:r w:rsidR="00E1467E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заключении нового контракта может быть принято при условии включения исполнителя по контракту в РНП.</w:t>
      </w:r>
    </w:p>
    <w:p w:rsidR="004B7DE8" w:rsidRPr="00960C45" w:rsidRDefault="004B7DE8" w:rsidP="004B7DE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E8" w:rsidRPr="00960C45" w:rsidRDefault="004B7DE8" w:rsidP="004B7DE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Приятной новостью для всех заказчиков стало вступление в силу изменений в закон 44-ФЗ, связанных с корректировкой требований к планированию закупок. Исключены положения о ведении планов закупок, план-график стал единым документов планирования закупок.</w:t>
      </w:r>
    </w:p>
    <w:p w:rsidR="00287744" w:rsidRPr="00960C45" w:rsidRDefault="00287744" w:rsidP="003469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252" w:rsidRPr="00960C45" w:rsidRDefault="00F15252" w:rsidP="00F152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одним, упрощающим жизнь </w:t>
      </w:r>
      <w:r w:rsidR="003469E1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Заказчикам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нововведением с 31 июля является снятие освобождение от обязанности</w:t>
      </w:r>
      <w:r w:rsidR="003469E1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r w:rsidR="003469E1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ЕИС извещения об осуществлении любых закупок у единственного поставщика.</w:t>
      </w:r>
    </w:p>
    <w:p w:rsidR="003469E1" w:rsidRPr="00960C45" w:rsidRDefault="00F15252" w:rsidP="00F152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стоит обратить внимание, что о</w:t>
      </w:r>
      <w:r w:rsidR="003469E1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босновывать цену контракта и прилагать такое обоснование к проекту контракта </w:t>
      </w:r>
      <w:r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3469E1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случаях, например, при закупке работ и услуг, оказываемых органами власти и их подведомственными организациями, в целях ликвидации аварий и в режиме ЧС, дл</w:t>
      </w:r>
      <w:r w:rsidR="004F01D2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оказания неотложной медпомощи</w:t>
      </w:r>
      <w:r w:rsidR="003469E1" w:rsidRPr="0096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1F0F" w:rsidRPr="00960C45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960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Далее хотелось бы рассказать о нарушениях 44-ФЗ, которые зачастую выявляет Хакасское УФАС России при рассмотрении жалоб и проведении внеплановых проверок.</w:t>
      </w:r>
    </w:p>
    <w:p w:rsidR="00A32B9A" w:rsidRPr="00960C45" w:rsidRDefault="00A32B9A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0F" w:rsidRPr="00960C45" w:rsidRDefault="00F92983" w:rsidP="00A3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Нарушение ч.5 и</w:t>
      </w:r>
      <w:r w:rsidR="006A1F0F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ст.34 Закона 44-ФЗ - установление в проекте контракта ответственности сторон </w:t>
      </w:r>
      <w:r w:rsidR="00D73898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соответствии с изменениями от 02.08.2019 в </w:t>
      </w:r>
      <w:r w:rsidR="006A1F0F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898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</w:t>
      </w:r>
      <w:r w:rsidR="006A1F0F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установлены </w:t>
      </w:r>
      <w:r w:rsidR="00D73898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штрафных санкций в случае заключения контракта с СМП (пункт 4). </w:t>
      </w:r>
    </w:p>
    <w:p w:rsidR="006A1F0F" w:rsidRPr="00960C45" w:rsidRDefault="006A1F0F" w:rsidP="00A3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в </w:t>
      </w:r>
      <w:r w:rsidR="00D73898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1042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и </w:t>
      </w:r>
      <w:r w:rsidR="00D73898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исключены слова «в виде фиксированной суммы» при определении размеров штрафа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F0F" w:rsidRPr="00960C45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1F0F" w:rsidRPr="00960C45" w:rsidRDefault="006A1F0F" w:rsidP="00D7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ч.</w:t>
      </w:r>
      <w:r w:rsidR="00D73898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ст.34 - отсутствие в проекте контракта </w:t>
      </w:r>
      <w:r w:rsidR="00D73898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поставщика (подрядчика, исполнителя) в случае отзыва у банка, предоставившего банковскую гарантию в качестве обеспечения исполнения контракта,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(подрядчика, исполнителя) о необходимости предоставить соответствующее обеспечение.</w:t>
      </w:r>
    </w:p>
    <w:p w:rsidR="00A32B9A" w:rsidRPr="00960C45" w:rsidRDefault="00A32B9A" w:rsidP="00A32B9A">
      <w:pPr>
        <w:pStyle w:val="a3"/>
        <w:jc w:val="both"/>
        <w:rPr>
          <w:color w:val="000000"/>
          <w:sz w:val="28"/>
          <w:szCs w:val="28"/>
        </w:rPr>
      </w:pPr>
      <w:r w:rsidRPr="00960C45">
        <w:rPr>
          <w:sz w:val="28"/>
          <w:szCs w:val="28"/>
        </w:rPr>
        <w:t>3. Нарушение ч. 7 ст.110.2</w:t>
      </w:r>
      <w:r w:rsidR="00001633" w:rsidRPr="00960C45">
        <w:rPr>
          <w:sz w:val="28"/>
          <w:szCs w:val="28"/>
        </w:rPr>
        <w:t xml:space="preserve"> Закона 44-ФЗ</w:t>
      </w:r>
      <w:r w:rsidRPr="00960C45">
        <w:rPr>
          <w:sz w:val="28"/>
          <w:szCs w:val="28"/>
        </w:rPr>
        <w:t xml:space="preserve"> при проведении закупок на строительство, реконструкцию и капитальный ремонт объектов капитального строительства – отсутствие или незаполненные </w:t>
      </w:r>
      <w:r w:rsidRPr="00960C45">
        <w:rPr>
          <w:color w:val="000000"/>
          <w:sz w:val="28"/>
          <w:szCs w:val="28"/>
        </w:rPr>
        <w:t>график производства строительных и монтажных рабо</w:t>
      </w:r>
      <w:r w:rsidRPr="00960C45">
        <w:rPr>
          <w:sz w:val="28"/>
          <w:szCs w:val="28"/>
        </w:rPr>
        <w:t>т и графика</w:t>
      </w:r>
      <w:r w:rsidRPr="00960C45">
        <w:rPr>
          <w:color w:val="000000"/>
          <w:sz w:val="28"/>
          <w:szCs w:val="28"/>
        </w:rPr>
        <w:t xml:space="preserve"> оплаты выполненных работ, утвержденных Приказом Министерства строительства и жилищно-коммунального хозяйства Российской Федерации от 05.06.2018 г № 336/</w:t>
      </w:r>
      <w:proofErr w:type="spellStart"/>
      <w:r w:rsidRPr="00960C45">
        <w:rPr>
          <w:color w:val="000000"/>
          <w:sz w:val="28"/>
          <w:szCs w:val="28"/>
        </w:rPr>
        <w:t>пр</w:t>
      </w:r>
      <w:proofErr w:type="spellEnd"/>
      <w:r w:rsidRPr="00960C45">
        <w:rPr>
          <w:color w:val="000000"/>
          <w:sz w:val="28"/>
          <w:szCs w:val="28"/>
        </w:rPr>
        <w:t xml:space="preserve"> «Об утверждении методики составления графика выполнения строительно-монтажных работ и графика оплаты выполненных по контракту (договору), предметом которого является строительство и реконструкция объектов капитального строительства, работ».</w:t>
      </w:r>
    </w:p>
    <w:p w:rsidR="00A32B9A" w:rsidRPr="00960C45" w:rsidRDefault="00001633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Нарушение части 1 статьи 64 Закона 44-ФЗ – участились случаи размещения заказчиками противоречивой информации в извещении и в документации о закупке. Так, например, в извещении может отсутствовать информация о размере, порядке и возможных способах обеспечения заявки на участие в закупки, обеспечения исполнения контракта, а то время как документация об аукционе такая информация присутствует.</w:t>
      </w:r>
    </w:p>
    <w:p w:rsidR="006A1F0F" w:rsidRPr="00960C45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Нарушение </w:t>
      </w:r>
      <w:r w:rsidR="00001633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ч. 6 ст. 66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44-ФЗ - в части </w:t>
      </w:r>
      <w:r w:rsidR="00001633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требования о предоставлении участниками закупки</w:t>
      </w:r>
      <w:r w:rsidR="000F2B87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части заявки за участие </w:t>
      </w:r>
      <w:r w:rsidR="00001633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B87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соответствие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 w:rsidR="000F2B87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0F2B87"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04.02.2015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требованиям».</w:t>
      </w:r>
    </w:p>
    <w:p w:rsidR="000F2B87" w:rsidRPr="00960C45" w:rsidRDefault="000F2B87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время, такие документы участник закупки в силу положений ч. 12 ст. 24.2 Закона 44-ФЗ направляет оператору этой электронной площадки в отношении каждой закупки электронные документы (или их копии), предусмотренные перечнем, установленным Правительством Российской Федерации.</w:t>
      </w:r>
    </w:p>
    <w:p w:rsidR="006A1F0F" w:rsidRPr="00960C45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Нарушение п.1, 2 ч.1 ст.33 Закона 44-ФЗ - установление требований к материалам, используемым при выполнении работ или при закупке товаров в противоречие с положениями указанных заказчиком ГОСТов.</w:t>
      </w:r>
    </w:p>
    <w:p w:rsidR="006A1F0F" w:rsidRPr="00960C45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 7. Нарушение п.2 ч.1 ст.64 – ненадлежащая инструкция по заполнению заявки.</w:t>
      </w:r>
    </w:p>
    <w:p w:rsidR="006A1F0F" w:rsidRPr="00960C45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нарушение комиссией антимонопольного органа по-прежнему выявляется и является, на наш взгляд существенным, поскольку ненадлежащая инструкция, как правило вводит участников закупки в заблуждение, не позволяет должным образом заполнить заявку на участие в электронном аукционе, что ведет к признанию такой заявки несоответствующей и отказу участнику в допуске к участию в электронном аукционе.</w:t>
      </w:r>
    </w:p>
    <w:p w:rsidR="006A1F0F" w:rsidRPr="00960C45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Хакасское УФАС России в очередной раз рекомендует заказчикам корректировать «типовую» инструкцию применительно к каждому объекту закупки, с учетом тех качественных, технических и функциональных характеристик, требования к указанию которых в заявке участника предъявляет заказчик.</w:t>
      </w:r>
    </w:p>
    <w:p w:rsidR="006A1F0F" w:rsidRPr="00960C45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 8. Нарушение порядка рассмотрения заявок участников.</w:t>
      </w:r>
    </w:p>
    <w:p w:rsidR="006A1F0F" w:rsidRPr="00960C45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сложившейся судебной практики, следует, что наличие в требованиях заказчика каких-либо разночтений исключает последующую возможность отклонения заявок участников со ссылкой на их несоответствие таким требованиям документации.</w:t>
      </w:r>
    </w:p>
    <w:p w:rsidR="006A1F0F" w:rsidRPr="00960C45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случае предоставления участником закупки в составе заявки недостоверной, противоречивой информации (например, при условии </w:t>
      </w:r>
      <w:proofErr w:type="spellStart"/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нац.режима</w:t>
      </w:r>
      <w:proofErr w:type="spellEnd"/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закупке, указание участником различной страны происхождения товара), что не позволяет комиссии прийти к однозначному выводу о соответствии заявки участника – такую заявку следует признать несоответствующей по части 6.1 статьи 66 Закона 44-ФЗ (в случае установления недостоверности информации, содержащейся в документах, представленных участником электронного аукциона в соответствии с </w:t>
      </w:r>
      <w:hyperlink r:id="rId5" w:history="1">
        <w:r w:rsidRPr="00960C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частями 3</w:t>
        </w:r>
      </w:hyperlink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960C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</w:hyperlink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66, аукционная комиссия обязана отстранить такого участника от участия в электронном аукционе </w:t>
      </w:r>
      <w:r w:rsidRPr="00960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любом этапе его проведения</w:t>
      </w:r>
      <w:r w:rsidRPr="00960C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1F0F" w:rsidRPr="006A1F0F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A1F0F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6A1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Также хотелось бы отдельно обратить Ваше внимание на следующее.</w:t>
      </w:r>
    </w:p>
    <w:p w:rsidR="00E46A92" w:rsidRPr="00E46A92" w:rsidRDefault="00E46A92" w:rsidP="00E4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92" w:rsidRPr="00E46A92" w:rsidRDefault="00E46A92" w:rsidP="007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14.10.2019 вступил в силу Приказ Минфина № 111н от 18.07.2019, который дополнил перечень в рамках национального режима по Приказу Минфина № 126н от 04.06.2018 такими кодами по ОКПД2:</w:t>
      </w:r>
    </w:p>
    <w:p w:rsidR="00E46A92" w:rsidRPr="00E46A92" w:rsidRDefault="00E46A92" w:rsidP="007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92">
        <w:rPr>
          <w:rFonts w:ascii="Times New Roman" w:eastAsia="Times New Roman" w:hAnsi="Times New Roman" w:cs="Times New Roman"/>
          <w:sz w:val="28"/>
          <w:szCs w:val="28"/>
          <w:lang w:eastAsia="ru-RU"/>
        </w:rPr>
        <w:t>10.86.10.133 — смеси молочные адаптированные (заменители женского молока), в том числе начальные, сухие для детей раннего возраста;</w:t>
      </w:r>
    </w:p>
    <w:p w:rsidR="00E46A92" w:rsidRPr="00E46A92" w:rsidRDefault="00E46A92" w:rsidP="007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92">
        <w:rPr>
          <w:rFonts w:ascii="Times New Roman" w:eastAsia="Times New Roman" w:hAnsi="Times New Roman" w:cs="Times New Roman"/>
          <w:sz w:val="28"/>
          <w:szCs w:val="28"/>
          <w:lang w:eastAsia="ru-RU"/>
        </w:rPr>
        <w:t>10.86.10.134 — смеси молочные последующие сухие для детей раннего возраста;</w:t>
      </w:r>
    </w:p>
    <w:p w:rsidR="00E46A92" w:rsidRPr="00E46A92" w:rsidRDefault="00E46A92" w:rsidP="007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92">
        <w:rPr>
          <w:rFonts w:ascii="Times New Roman" w:eastAsia="Times New Roman" w:hAnsi="Times New Roman" w:cs="Times New Roman"/>
          <w:sz w:val="28"/>
          <w:szCs w:val="28"/>
          <w:lang w:eastAsia="ru-RU"/>
        </w:rPr>
        <w:t>10.86.10.135 — смеси кисломолочные сухие для детей раннего возраста;</w:t>
      </w:r>
    </w:p>
    <w:p w:rsidR="00E46A92" w:rsidRPr="00E46A92" w:rsidRDefault="00E46A92" w:rsidP="007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92">
        <w:rPr>
          <w:rFonts w:ascii="Times New Roman" w:eastAsia="Times New Roman" w:hAnsi="Times New Roman" w:cs="Times New Roman"/>
          <w:sz w:val="28"/>
          <w:szCs w:val="28"/>
          <w:lang w:eastAsia="ru-RU"/>
        </w:rPr>
        <w:t>10.86.10.139 — смеси молочные сухие прочие для детей раннего возраста.</w:t>
      </w:r>
    </w:p>
    <w:p w:rsidR="00E46A92" w:rsidRPr="00E46A92" w:rsidRDefault="00E46A92" w:rsidP="007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92" w:rsidRPr="00E46A92" w:rsidRDefault="00E46A92" w:rsidP="007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9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1 сентября 2019 правило «третий лишний» при осуществлении закупок радиоэлектронной продукции применяется заказчиками в соответствии с положениями постановления Правительства РФ от 10.07.2019 № 878.</w:t>
      </w:r>
    </w:p>
    <w:p w:rsidR="00E46A92" w:rsidRDefault="00E46A92" w:rsidP="00754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согласно Постановлению РФ от 10.07.2019 № 878 подтверждением соответствия радиоэлектронной продукции требованиям извещения и документации о закупке является декларация участника о нахождении радиоэлектронной продукции в реестре российской радиоэлектронной продукции с указанием номера реестровой записи. При этом ограничение не устанавливается, если в реестре отсутствует радиоэлектронная продукция, соответствующая необходимому заказчику классу (функциональному назначению), и (или) имеющаяся в реестре продукция по своим функциональным, техническим и (или) эксплуатационным характеристикам не соответствует установленным заказчиком требованиям к планируемой к закупке радиоэлектронной продукции. Соответствующий реестр формируется и ведется </w:t>
      </w:r>
      <w:proofErr w:type="spellStart"/>
      <w:r w:rsidRPr="00E46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Минпромторгом</w:t>
      </w:r>
      <w:proofErr w:type="spellEnd"/>
      <w:r w:rsidRPr="00E4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754031" w:rsidRDefault="00754031" w:rsidP="00E4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0F" w:rsidRPr="006A1F0F" w:rsidRDefault="006A1F0F" w:rsidP="006A1F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9BE" w:rsidRDefault="00754031">
      <w:bookmarkStart w:id="0" w:name="_GoBack"/>
      <w:bookmarkEnd w:id="0"/>
    </w:p>
    <w:sectPr w:rsidR="009C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F3B2A"/>
    <w:multiLevelType w:val="multilevel"/>
    <w:tmpl w:val="DF86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45BAE"/>
    <w:multiLevelType w:val="multilevel"/>
    <w:tmpl w:val="F67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C0"/>
    <w:rsid w:val="00001633"/>
    <w:rsid w:val="00076BA3"/>
    <w:rsid w:val="000F2B87"/>
    <w:rsid w:val="001C41C0"/>
    <w:rsid w:val="00287744"/>
    <w:rsid w:val="003469E1"/>
    <w:rsid w:val="00425563"/>
    <w:rsid w:val="004B7DE8"/>
    <w:rsid w:val="004F01D2"/>
    <w:rsid w:val="00682C22"/>
    <w:rsid w:val="006A1F0F"/>
    <w:rsid w:val="00701711"/>
    <w:rsid w:val="00754031"/>
    <w:rsid w:val="009374E5"/>
    <w:rsid w:val="00960C45"/>
    <w:rsid w:val="00A32B9A"/>
    <w:rsid w:val="00A8201F"/>
    <w:rsid w:val="00D44EF4"/>
    <w:rsid w:val="00D73898"/>
    <w:rsid w:val="00DA575C"/>
    <w:rsid w:val="00E1467E"/>
    <w:rsid w:val="00E46A92"/>
    <w:rsid w:val="00F15252"/>
    <w:rsid w:val="00F92983"/>
    <w:rsid w:val="00F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2CFAE-0E6B-492C-A1AD-1B77F3A9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1F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6B26DDA9244CEFCA76520146FF56D206296F723AE83AA6DD60900589F39F7B61D124F42AA8791BA49945843318AC398FB2644AEC120297tFNAF" TargetMode="External"/><Relationship Id="rId5" Type="http://schemas.openxmlformats.org/officeDocument/2006/relationships/hyperlink" Target="consultantplus://offline/ref=9C6B26DDA9244CEFCA76520146FF56D206296F723AE83AA6DD60900589F39F7B61D124F42AA8791AA59945843318AC398FB2644AEC120297tFN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Шпаковская</dc:creator>
  <cp:lastModifiedBy>Екатерина Александровна Шпаковская</cp:lastModifiedBy>
  <cp:revision>5</cp:revision>
  <cp:lastPrinted>2019-12-09T03:24:00Z</cp:lastPrinted>
  <dcterms:created xsi:type="dcterms:W3CDTF">2019-12-08T14:34:00Z</dcterms:created>
  <dcterms:modified xsi:type="dcterms:W3CDTF">2019-12-09T03:30:00Z</dcterms:modified>
</cp:coreProperties>
</file>